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DF" w:rsidRDefault="007118DF" w:rsidP="007118DF">
      <w:pPr>
        <w:spacing w:afterLines="50" w:after="156" w:line="300" w:lineRule="auto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kern w:val="0"/>
          <w:sz w:val="28"/>
          <w:szCs w:val="28"/>
        </w:rPr>
        <w:t>1</w:t>
      </w:r>
    </w:p>
    <w:p w:rsidR="007118DF" w:rsidRDefault="007118DF" w:rsidP="007118DF">
      <w:pPr>
        <w:spacing w:afterLines="50" w:after="156" w:line="300" w:lineRule="auto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222222"/>
          <w:kern w:val="0"/>
          <w:sz w:val="32"/>
          <w:szCs w:val="32"/>
        </w:rPr>
        <w:t>江苏第二师范学院</w:t>
      </w:r>
      <w:r>
        <w:rPr>
          <w:rFonts w:ascii="方正小标宋简体" w:eastAsia="方正小标宋简体" w:hAnsi="Times New Roman" w:cs="Times New Roman" w:hint="eastAsia"/>
          <w:color w:val="222222"/>
          <w:kern w:val="0"/>
          <w:sz w:val="32"/>
          <w:szCs w:val="32"/>
        </w:rPr>
        <w:t>课程</w:t>
      </w:r>
      <w:proofErr w:type="gramStart"/>
      <w:r>
        <w:rPr>
          <w:rFonts w:ascii="方正小标宋简体" w:eastAsia="方正小标宋简体" w:hAnsi="Times New Roman" w:cs="Times New Roman" w:hint="eastAsia"/>
          <w:color w:val="222222"/>
          <w:kern w:val="0"/>
          <w:sz w:val="32"/>
          <w:szCs w:val="32"/>
        </w:rPr>
        <w:t>思政教学</w:t>
      </w:r>
      <w:proofErr w:type="gramEnd"/>
      <w:r>
        <w:rPr>
          <w:rFonts w:ascii="方正小标宋简体" w:eastAsia="方正小标宋简体" w:hAnsi="Times New Roman" w:cs="Times New Roman" w:hint="eastAsia"/>
          <w:color w:val="222222"/>
          <w:kern w:val="0"/>
          <w:sz w:val="32"/>
          <w:szCs w:val="32"/>
        </w:rPr>
        <w:t>竞赛评分标准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6109"/>
        <w:gridCol w:w="993"/>
      </w:tblGrid>
      <w:tr w:rsidR="007118DF" w:rsidTr="004852B4">
        <w:trPr>
          <w:cantSplit/>
          <w:trHeight w:val="84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评价指标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评分内容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分值</w:t>
            </w:r>
          </w:p>
        </w:tc>
      </w:tr>
      <w:tr w:rsidR="007118DF" w:rsidTr="004852B4">
        <w:trPr>
          <w:cantSplit/>
          <w:trHeight w:val="1399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Calibri" w:hint="eastAsia"/>
                <w:b/>
                <w:sz w:val="28"/>
                <w:szCs w:val="32"/>
              </w:rPr>
              <w:t>教学目标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根据教学大纲，能够从知识、技能、学习态度与价值观等方面设定教学目标。以专业知识为载体，加强学生思想政治教育，让课堂主渠道功能实现最大化。注重“术”“道”相结合，系统设计德育递进路径。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790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教学设计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备课充分，精心设计教学各个环节，</w:t>
            </w:r>
            <w:r>
              <w:rPr>
                <w:rFonts w:ascii="Times New Roman" w:eastAsia="仿宋_GB2312" w:hAnsi="Times New Roman" w:cs="Calibri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工艺</w:t>
            </w:r>
            <w:r>
              <w:rPr>
                <w:rFonts w:ascii="Times New Roman" w:eastAsia="仿宋_GB2312" w:hAnsi="Times New Roman" w:cs="Calibri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精湛；知识讲授符合教育学、心理学的育人规律。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1163"/>
          <w:jc w:val="center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widowControl/>
              <w:jc w:val="left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根据课程标准的要求，将教学各要素有序安排，教学目标、教学重难点、教学方法、教学步骤等整个教学过程的方案设想周全、计划合理。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1381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教学内容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教学信息量充足，符合学生认知规律。应用思想政治理论教育的学科思维处理教材，组织教学内容，融入爱国情怀、法制意识、社会责任、人文精神、仁爱之心等要素。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969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widowControl/>
              <w:jc w:val="left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反映或联系学科发展新思想、新概念、新成果。重点突出，条理清楚，内容承前启后，循序渐进。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1132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教学方法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善于提炼专业课程蕴含的育人因素，能将思想政治教育和专业知识传授融合，教学内容呈现恰当，教学活动组织合理。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1049"/>
          <w:jc w:val="center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widowControl/>
              <w:jc w:val="left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善于综合运用现代信息技术手段和数字资源把</w:t>
            </w:r>
            <w:proofErr w:type="gramStart"/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思政教育</w:t>
            </w:r>
            <w:proofErr w:type="gramEnd"/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巧妙渗透教学全过程，教学方法运用恰当，教学策略使用有效。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760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课程育人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具有良好的专业素养、科学精神、人文情怀和马克思主义理论功底，善于提炼专业课程蕴含的育人因素。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936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widowControl/>
              <w:jc w:val="left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思政元素</w:t>
            </w:r>
            <w:proofErr w:type="gramEnd"/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与学科知识联系紧密，有机融合；课程纳入引导学生树立正确世界观、人生观、价值观内容。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  <w:tr w:rsidR="007118DF" w:rsidTr="004852B4">
        <w:trPr>
          <w:cantSplit/>
          <w:trHeight w:val="941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widowControl/>
              <w:jc w:val="left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sz w:val="24"/>
                <w:szCs w:val="24"/>
              </w:rPr>
              <w:t>德育功能突出，感染力强，效果明显，能充分激发学生的认同感。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F" w:rsidRDefault="007118DF" w:rsidP="004852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</w:p>
        </w:tc>
      </w:tr>
    </w:tbl>
    <w:p w:rsidR="007118DF" w:rsidRDefault="007118DF" w:rsidP="007118DF">
      <w:pPr>
        <w:widowControl/>
        <w:jc w:val="left"/>
        <w:rPr>
          <w:rFonts w:ascii="黑体" w:eastAsia="黑体" w:hAnsi="宋体"/>
          <w:sz w:val="32"/>
          <w:szCs w:val="32"/>
        </w:rPr>
      </w:pPr>
    </w:p>
    <w:p w:rsidR="00185E3E" w:rsidRDefault="00185E3E">
      <w:bookmarkStart w:id="0" w:name="_GoBack"/>
      <w:bookmarkEnd w:id="0"/>
    </w:p>
    <w:sectPr w:rsidR="0018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9B" w:rsidRDefault="0028409B" w:rsidP="007118DF">
      <w:r>
        <w:separator/>
      </w:r>
    </w:p>
  </w:endnote>
  <w:endnote w:type="continuationSeparator" w:id="0">
    <w:p w:rsidR="0028409B" w:rsidRDefault="0028409B" w:rsidP="0071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9B" w:rsidRDefault="0028409B" w:rsidP="007118DF">
      <w:r>
        <w:separator/>
      </w:r>
    </w:p>
  </w:footnote>
  <w:footnote w:type="continuationSeparator" w:id="0">
    <w:p w:rsidR="0028409B" w:rsidRDefault="0028409B" w:rsidP="0071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EA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F3224"/>
    <w:rsid w:val="00271B28"/>
    <w:rsid w:val="0028409B"/>
    <w:rsid w:val="002B4F7D"/>
    <w:rsid w:val="002C4EA7"/>
    <w:rsid w:val="002E699A"/>
    <w:rsid w:val="002F58BB"/>
    <w:rsid w:val="00366B07"/>
    <w:rsid w:val="003708CB"/>
    <w:rsid w:val="004325C5"/>
    <w:rsid w:val="004342BD"/>
    <w:rsid w:val="00454D99"/>
    <w:rsid w:val="00460A59"/>
    <w:rsid w:val="0048435C"/>
    <w:rsid w:val="004C5B78"/>
    <w:rsid w:val="0050722A"/>
    <w:rsid w:val="005574D9"/>
    <w:rsid w:val="005C3FD3"/>
    <w:rsid w:val="00620A6B"/>
    <w:rsid w:val="0063057F"/>
    <w:rsid w:val="006A0FB5"/>
    <w:rsid w:val="006A5964"/>
    <w:rsid w:val="006C1E83"/>
    <w:rsid w:val="006E04B3"/>
    <w:rsid w:val="007118DF"/>
    <w:rsid w:val="00714CD0"/>
    <w:rsid w:val="00716E42"/>
    <w:rsid w:val="00746ACB"/>
    <w:rsid w:val="007620D5"/>
    <w:rsid w:val="007A3562"/>
    <w:rsid w:val="007C26DD"/>
    <w:rsid w:val="00803E6E"/>
    <w:rsid w:val="00831241"/>
    <w:rsid w:val="00874CD7"/>
    <w:rsid w:val="00935675"/>
    <w:rsid w:val="009549E8"/>
    <w:rsid w:val="00993EA9"/>
    <w:rsid w:val="009D058A"/>
    <w:rsid w:val="00A665D6"/>
    <w:rsid w:val="00AB12ED"/>
    <w:rsid w:val="00AC2CAB"/>
    <w:rsid w:val="00AD361A"/>
    <w:rsid w:val="00AD53DC"/>
    <w:rsid w:val="00B21A67"/>
    <w:rsid w:val="00B45658"/>
    <w:rsid w:val="00B62469"/>
    <w:rsid w:val="00B85BAC"/>
    <w:rsid w:val="00B9509C"/>
    <w:rsid w:val="00B95D07"/>
    <w:rsid w:val="00BC2FD0"/>
    <w:rsid w:val="00BE4346"/>
    <w:rsid w:val="00BE50D9"/>
    <w:rsid w:val="00BF4B37"/>
    <w:rsid w:val="00C03806"/>
    <w:rsid w:val="00C1421B"/>
    <w:rsid w:val="00C14E8C"/>
    <w:rsid w:val="00C16551"/>
    <w:rsid w:val="00C27E4D"/>
    <w:rsid w:val="00CB2CEA"/>
    <w:rsid w:val="00CC35C8"/>
    <w:rsid w:val="00CF5D66"/>
    <w:rsid w:val="00D06822"/>
    <w:rsid w:val="00D53E90"/>
    <w:rsid w:val="00D97427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71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1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1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1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71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1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1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1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2021-04-01T02:01:00Z</dcterms:created>
  <dcterms:modified xsi:type="dcterms:W3CDTF">2021-04-01T02:01:00Z</dcterms:modified>
</cp:coreProperties>
</file>